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Oswald" w:cs="Oswald" w:eastAsia="Oswald" w:hAnsi="Oswald"/>
          <w:color w:val="cc0000"/>
          <w:sz w:val="40"/>
          <w:szCs w:val="40"/>
        </w:rPr>
      </w:pPr>
      <w:r w:rsidDel="00000000" w:rsidR="00000000" w:rsidRPr="00000000">
        <w:rPr>
          <w:rFonts w:ascii="Oswald Medium" w:cs="Oswald Medium" w:eastAsia="Oswald Medium" w:hAnsi="Oswald Medium"/>
          <w:color w:val="ff4c02"/>
          <w:sz w:val="44"/>
          <w:szCs w:val="44"/>
          <w:rtl w:val="0"/>
        </w:rPr>
        <w:t xml:space="preserve">EVIDENCIAS Y MIEDOS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Esta tabla expone algunas evidencias sobre los beneficios de la diversidad en las aulas, relacionándolas con posibles miedos de las familias a los que contrarrestar. </w:t>
      </w:r>
    </w:p>
    <w:p w:rsidR="00000000" w:rsidDel="00000000" w:rsidP="00000000" w:rsidRDefault="00000000" w:rsidRPr="00000000" w14:paraId="00000003">
      <w:pPr>
        <w:spacing w:after="1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 final de la tabla hay varios  miedos para los que no hemos encontrado referencias de evidencias con los que trabajarlos, así como evidencias que no corresponderían a ninguno de los miedos detectados pero puede ser útil que los conozca quien facilite la sesión.</w:t>
      </w:r>
    </w:p>
    <w:p w:rsidR="00000000" w:rsidDel="00000000" w:rsidP="00000000" w:rsidRDefault="00000000" w:rsidRPr="00000000" w14:paraId="00000004">
      <w:pPr>
        <w:spacing w:after="10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Este documento es para la consulta del facilitador y que se pueda apoyar en esta información, pero no se pretende que se exponga o trabaje de forma explícita en el taller.</w:t>
      </w:r>
    </w:p>
    <w:p w:rsidR="00000000" w:rsidDel="00000000" w:rsidP="00000000" w:rsidRDefault="00000000" w:rsidRPr="00000000" w14:paraId="00000005">
      <w:pPr>
        <w:spacing w:after="1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0"/>
        <w:gridCol w:w="4485"/>
        <w:tblGridChange w:id="0">
          <w:tblGrid>
            <w:gridCol w:w="5130"/>
            <w:gridCol w:w="4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4c02" w:space="0" w:sz="12" w:val="single"/>
              <w:right w:color="d9d9d9" w:space="0" w:sz="8" w:val="single"/>
            </w:tcBorders>
            <w:shd w:fill="009ba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Oswald" w:cs="Oswald" w:eastAsia="Oswald" w:hAnsi="Oswald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color w:val="ffffff"/>
                <w:sz w:val="26"/>
                <w:szCs w:val="26"/>
                <w:rtl w:val="0"/>
              </w:rPr>
              <w:t xml:space="preserve">Evidencia/Beneficio</w:t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4c02" w:space="0" w:sz="12" w:val="single"/>
              <w:right w:color="ffffff" w:space="0" w:sz="8" w:val="single"/>
            </w:tcBorders>
            <w:shd w:fill="009ba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Oswald" w:cs="Oswald" w:eastAsia="Oswald" w:hAnsi="Oswald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Oswald" w:cs="Oswald" w:eastAsia="Oswald" w:hAnsi="Oswald"/>
                <w:color w:val="ffffff"/>
                <w:sz w:val="26"/>
                <w:szCs w:val="26"/>
                <w:rtl w:val="0"/>
              </w:rPr>
              <w:t xml:space="preserve">Miedo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4c02" w:space="0" w:sz="12" w:val="single"/>
              <w:left w:color="ffffff" w:space="0" w:sz="8" w:val="single"/>
              <w:bottom w:color="ff4c02" w:space="0" w:sz="12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2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BENEFICIA SU APRENDIZAJE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Las experiencias de aprendizaje con personas diversas son necesarias para un desarrollo adecuado de los niños y las niñas.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Conclusión extraída de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Ainscow y Miles, 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4c02" w:space="0" w:sz="12" w:val="single"/>
              <w:left w:color="d9d9d9" w:space="0" w:sz="8" w:val="single"/>
              <w:bottom w:color="ff4c02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Mi hijo/a va a aprender menos si en su clase hay muchos niños y niñas con necesidades educativas especiales como el idioma o discapacidad.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4c02" w:space="0" w:sz="12" w:val="single"/>
              <w:left w:color="ffffff" w:space="0" w:sz="8" w:val="single"/>
              <w:bottom w:color="ff4c02" w:space="0" w:sz="12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12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DISMINUYE LOS PREJUICIOS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“La diversidad en el aula genera que el alumnado muestre mayor preocupación por la igualdad, sea más generoso y tenga menos actitudes discriminatorias hacia otras personas.”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American Economic Review, 2019</w:t>
            </w:r>
          </w:p>
        </w:tc>
        <w:tc>
          <w:tcPr>
            <w:tcBorders>
              <w:top w:color="ff4c02" w:space="0" w:sz="12" w:val="single"/>
              <w:left w:color="d9d9d9" w:space="0" w:sz="8" w:val="single"/>
              <w:bottom w:color="ff4c02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Mi hijo/a va a tener que convivir con personas de culturas que no corresponden con los valores que quiero enseñarle.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4c02" w:space="0" w:sz="12" w:val="single"/>
              <w:left w:color="ffffff" w:space="0" w:sz="8" w:val="single"/>
              <w:bottom w:color="009ba5" w:space="0" w:sz="12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AUMENTA LA CREATIVIDAD Y LA CAPACIDAD DE RESOLUCIÓN DE PROBLEMAS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“La diversidad es un valor añadido ya que promueve la tolerancia, la creatividad, la capacidad de razonamiento y la resolución de problemas.” 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The Century Foundation, 2019</w:t>
            </w:r>
          </w:p>
        </w:tc>
        <w:tc>
          <w:tcPr>
            <w:tcBorders>
              <w:top w:color="ff4c02" w:space="0" w:sz="12" w:val="single"/>
              <w:left w:color="d9d9d9" w:space="0" w:sz="8" w:val="single"/>
              <w:bottom w:color="009ba5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Tengo miedo a que no consiga un nivel alto de inglés, conocimientos o soft skills que le den oportunidades para conseguir un buen trabajo cuando crezca.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4c02" w:space="0" w:sz="12" w:val="single"/>
              <w:left w:color="ffffff" w:space="0" w:sz="8" w:val="single"/>
              <w:bottom w:color="ff4c02" w:space="0" w:sz="12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2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GENERA CAMBIOS POSITIVOS EN LAS ESCUELAS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En los colegios en los que hay niños y niñas con necesidades educativas especiales todo el alumnado aprende más gracias sobre todo al cambio que genera en el trabajo docente.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Conclusión extraída de Szumski, Smogorzewska &amp; Karwowski,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4c02" w:space="0" w:sz="12" w:val="single"/>
              <w:left w:color="d9d9d9" w:space="0" w:sz="8" w:val="single"/>
              <w:bottom w:color="ff4c02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25.19685039370046" w:right="0" w:hanging="36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La maestra o el maestro de mi hijo/a no va a poder prestarle atención porque va a tener que estar atento a otros niños/as con más problemas.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120" w:line="240" w:lineRule="auto"/>
              <w:ind w:left="425.19685039370046" w:hanging="36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Un colegio con familias muy diferentes es más problemático y caótico. Mi hijo o hija tendrá más dificultades en un centro así.</w:t>
            </w:r>
          </w:p>
        </w:tc>
      </w:tr>
    </w:tbl>
    <w:p w:rsidR="00000000" w:rsidDel="00000000" w:rsidP="00000000" w:rsidRDefault="00000000" w:rsidRPr="00000000" w14:paraId="00000019">
      <w:pPr>
        <w:spacing w:after="200" w:lineRule="auto"/>
        <w:rPr>
          <w:rFonts w:ascii="Oswald" w:cs="Oswald" w:eastAsia="Oswald" w:hAnsi="Oswald"/>
          <w:color w:val="f1a8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Oswald" w:cs="Oswald" w:eastAsia="Oswald" w:hAnsi="Oswald"/>
          <w:color w:val="f1a8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Oswald" w:cs="Oswald" w:eastAsia="Oswald" w:hAnsi="Oswald"/>
          <w:color w:val="f1a8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Oswald" w:cs="Oswald" w:eastAsia="Oswald" w:hAnsi="Oswald"/>
          <w:color w:val="f1a800"/>
          <w:sz w:val="38"/>
          <w:szCs w:val="38"/>
        </w:rPr>
      </w:pPr>
      <w:r w:rsidDel="00000000" w:rsidR="00000000" w:rsidRPr="00000000">
        <w:rPr>
          <w:rFonts w:ascii="Oswald" w:cs="Oswald" w:eastAsia="Oswald" w:hAnsi="Oswald"/>
          <w:color w:val="f1a800"/>
          <w:sz w:val="38"/>
          <w:szCs w:val="38"/>
          <w:rtl w:val="0"/>
        </w:rPr>
        <w:t xml:space="preserve">Otros miedos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Oswald" w:cs="Oswald" w:eastAsia="Oswald" w:hAnsi="Oswald"/>
          <w:color w:val="f1a8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Tengo miedo a las relaciones que pueda crear. Que entre en casas de compañeros o compañeras y tenga experiencias negativas.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Tengo miedo a que me hijo o hija quede expuesto a situaciones de peligrosidad, violencia, alcohol, drogas, pornografía, juego, etc.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Tengo miedo a que mi hijo/a sea rechazado.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Tengo miedo a que mi hijo o hija no esté en un entorno seguro, controlado o que no le resulte familiar.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Oswald" w:cs="Oswald" w:eastAsia="Oswald" w:hAnsi="Oswald"/>
          <w:color w:val="cc0000"/>
          <w:sz w:val="40"/>
          <w:szCs w:val="40"/>
        </w:rPr>
        <w:drawing>
          <wp:inline distB="19050" distT="19050" distL="19050" distR="19050">
            <wp:extent cx="6157050" cy="19882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7050" cy="1988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.3228346456694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Oswald Medium" w:cs="Oswald Medium" w:eastAsia="Oswald Medium" w:hAnsi="Oswald Medium"/>
        <w:rtl w:val="0"/>
      </w:rPr>
      <w:t xml:space="preserve">MÉZCLATE CONMIGO </w:t>
    </w:r>
    <w:r w:rsidDel="00000000" w:rsidR="00000000" w:rsidRPr="00000000">
      <w:rPr>
        <w:rFonts w:ascii="Oswald" w:cs="Oswald" w:eastAsia="Oswald" w:hAnsi="Oswald"/>
        <w:sz w:val="24"/>
        <w:szCs w:val="24"/>
        <w:rtl w:val="0"/>
      </w:rPr>
      <w:t xml:space="preserve"> </w:t>
    </w:r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Taller sobre escolarización inclusiva para familias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4676775</wp:posOffset>
          </wp:positionH>
          <wp:positionV relativeFrom="paragraph">
            <wp:posOffset>-57149</wp:posOffset>
          </wp:positionV>
          <wp:extent cx="1395032" cy="3621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032" cy="3621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